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3497" w14:textId="01F84696" w:rsidR="00746750" w:rsidRPr="00746750" w:rsidRDefault="00746750" w:rsidP="00FB6FBC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 w:rsidR="00495CC3">
        <w:rPr>
          <w:rFonts w:ascii="Arial" w:eastAsia="SimSun" w:hAnsi="Arial"/>
          <w:b/>
          <w:noProof/>
          <w:sz w:val="24"/>
          <w:lang w:eastAsia="zh-CN"/>
        </w:rPr>
        <w:t>11</w:t>
      </w:r>
      <w:r w:rsidR="00547676">
        <w:rPr>
          <w:rFonts w:ascii="Arial" w:eastAsia="SimSun" w:hAnsi="Arial"/>
          <w:b/>
          <w:noProof/>
          <w:sz w:val="24"/>
          <w:lang w:eastAsia="zh-CN"/>
        </w:rPr>
        <w:t>2</w:t>
      </w:r>
      <w:r w:rsidR="00195953">
        <w:rPr>
          <w:rFonts w:ascii="Arial" w:eastAsia="SimSun" w:hAnsi="Arial"/>
          <w:b/>
          <w:noProof/>
          <w:sz w:val="24"/>
          <w:lang w:eastAsia="zh-CN"/>
        </w:rPr>
        <w:t>bis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 w:rsidR="00195953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 w:rsidR="00495CC3">
        <w:rPr>
          <w:rFonts w:ascii="Arial" w:eastAsia="SimSun" w:hAnsi="Arial"/>
          <w:b/>
          <w:noProof/>
          <w:sz w:val="24"/>
          <w:lang w:eastAsia="zh-CN"/>
        </w:rPr>
        <w:t>4</w:t>
      </w:r>
      <w:r w:rsidR="00CD54E2">
        <w:rPr>
          <w:rFonts w:ascii="Arial" w:eastAsia="SimSun" w:hAnsi="Arial"/>
          <w:b/>
          <w:noProof/>
          <w:sz w:val="24"/>
          <w:lang w:eastAsia="zh-CN"/>
        </w:rPr>
        <w:t>15514</w:t>
      </w:r>
    </w:p>
    <w:bookmarkEnd w:id="0"/>
    <w:bookmarkEnd w:id="1"/>
    <w:bookmarkEnd w:id="2"/>
    <w:p w14:paraId="543E4E08" w14:textId="77777777" w:rsidR="00195953" w:rsidRPr="0052514D" w:rsidRDefault="00195953" w:rsidP="001959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2E469981" w14:textId="77777777" w:rsidR="00195953" w:rsidRPr="00EE53AA" w:rsidRDefault="00195953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5C51B89F" w:rsidR="005929A6" w:rsidRPr="003D5450" w:rsidRDefault="005929A6" w:rsidP="00987DF6">
      <w:pPr>
        <w:ind w:left="1985" w:hanging="1985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159A9" w:rsidRPr="009159A9">
        <w:rPr>
          <w:rFonts w:ascii="Arial" w:hAnsi="Arial" w:cs="Arial"/>
          <w:sz w:val="22"/>
          <w:lang w:eastAsia="zh-CN"/>
        </w:rPr>
        <w:t>On reference architecture and RF capability for type 4 UE</w:t>
      </w:r>
      <w:r w:rsidR="00195953">
        <w:rPr>
          <w:rFonts w:ascii="Arial" w:hAnsi="Arial" w:cs="Arial"/>
          <w:sz w:val="22"/>
          <w:lang w:eastAsia="zh-CN"/>
        </w:rPr>
        <w:t xml:space="preserve"> </w:t>
      </w:r>
    </w:p>
    <w:p w14:paraId="47A7A0E8" w14:textId="06732517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95953">
        <w:rPr>
          <w:rFonts w:ascii="Arial" w:hAnsi="Arial" w:cs="Arial"/>
          <w:sz w:val="22"/>
        </w:rPr>
        <w:t>6.5.</w:t>
      </w:r>
      <w:r w:rsidR="009159A9">
        <w:rPr>
          <w:rFonts w:ascii="Arial" w:hAnsi="Arial" w:cs="Arial" w:hint="eastAsia"/>
          <w:sz w:val="22"/>
          <w:lang w:eastAsia="zh-CN"/>
        </w:rPr>
        <w:t>2.</w:t>
      </w:r>
      <w:r w:rsidR="00195953">
        <w:rPr>
          <w:rFonts w:ascii="Arial" w:hAnsi="Arial" w:cs="Arial"/>
          <w:sz w:val="22"/>
        </w:rPr>
        <w:t>1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53F2B5F5" w14:textId="58F2D5BE" w:rsidR="004D1D66" w:rsidRDefault="004D1D66" w:rsidP="00E07483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Reference [1] was presented for RAN4#112 meeting, while some identified issues were not discussed online. One of them is the in-GAP interference which may </w:t>
      </w:r>
      <w:r w:rsidR="00C545DA">
        <w:rPr>
          <w:kern w:val="2"/>
          <w:lang w:val="en-US" w:eastAsia="zh-CN"/>
        </w:rPr>
        <w:t>be</w:t>
      </w:r>
      <w:r>
        <w:rPr>
          <w:kern w:val="2"/>
          <w:lang w:val="en-US" w:eastAsia="zh-CN"/>
        </w:rPr>
        <w:t xml:space="preserve"> essential for type 4 UE reconfiguration to type 1 capability (8layer/CC in collocated condition) based on the agreed reference architecture for type 4 UE.</w:t>
      </w:r>
      <w:r w:rsidR="00542C10">
        <w:rPr>
          <w:kern w:val="2"/>
          <w:lang w:val="en-US" w:eastAsia="zh-CN"/>
        </w:rPr>
        <w:t xml:space="preserve"> Even though some companies don’t </w:t>
      </w:r>
      <w:r w:rsidR="00C545DA">
        <w:rPr>
          <w:kern w:val="2"/>
          <w:lang w:val="en-US" w:eastAsia="zh-CN"/>
        </w:rPr>
        <w:t>prefer</w:t>
      </w:r>
      <w:r w:rsidR="00542C10">
        <w:rPr>
          <w:kern w:val="2"/>
          <w:lang w:val="en-US" w:eastAsia="zh-CN"/>
        </w:rPr>
        <w:t xml:space="preserve"> such study for the current stage, </w:t>
      </w:r>
      <w:r w:rsidR="00C545DA">
        <w:rPr>
          <w:kern w:val="2"/>
          <w:lang w:val="en-US" w:eastAsia="zh-CN"/>
        </w:rPr>
        <w:t>there is indeed a</w:t>
      </w:r>
      <w:r w:rsidR="00542C10">
        <w:rPr>
          <w:kern w:val="2"/>
          <w:lang w:val="en-US" w:eastAsia="zh-CN"/>
        </w:rPr>
        <w:t xml:space="preserve"> need to clarify </w:t>
      </w:r>
      <w:r w:rsidR="00C545DA">
        <w:rPr>
          <w:kern w:val="2"/>
          <w:lang w:val="en-US" w:eastAsia="zh-CN"/>
        </w:rPr>
        <w:t xml:space="preserve">the implication </w:t>
      </w:r>
      <w:r w:rsidR="00542C10">
        <w:rPr>
          <w:kern w:val="2"/>
          <w:lang w:val="en-US" w:eastAsia="zh-CN"/>
        </w:rPr>
        <w:t>to the reference architecture</w:t>
      </w:r>
      <w:r w:rsidR="00F21F92">
        <w:rPr>
          <w:kern w:val="2"/>
          <w:lang w:val="en-US" w:eastAsia="zh-CN"/>
        </w:rPr>
        <w:t xml:space="preserve"> and agreed work scope</w:t>
      </w:r>
      <w:r w:rsidR="00C545DA">
        <w:rPr>
          <w:kern w:val="2"/>
          <w:lang w:val="en-US" w:eastAsia="zh-CN"/>
        </w:rPr>
        <w:t xml:space="preserve"> for type 4 UE.</w:t>
      </w:r>
      <w:r w:rsidR="00F21F92">
        <w:rPr>
          <w:kern w:val="2"/>
          <w:lang w:val="en-US" w:eastAsia="zh-CN"/>
        </w:rPr>
        <w:t xml:space="preserve"> </w:t>
      </w:r>
      <w:r w:rsidR="00542C10">
        <w:rPr>
          <w:kern w:val="2"/>
          <w:lang w:val="en-US" w:eastAsia="zh-CN"/>
        </w:rPr>
        <w:t xml:space="preserve"> </w:t>
      </w:r>
    </w:p>
    <w:p w14:paraId="5807955E" w14:textId="1C49A7C7" w:rsidR="00195953" w:rsidRDefault="00195953" w:rsidP="00E07483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This contribution aims at some clarification on </w:t>
      </w:r>
      <w:r w:rsidR="00542C10">
        <w:rPr>
          <w:kern w:val="2"/>
          <w:lang w:val="en-US" w:eastAsia="zh-CN"/>
        </w:rPr>
        <w:t xml:space="preserve">either </w:t>
      </w:r>
      <w:r>
        <w:rPr>
          <w:kern w:val="2"/>
          <w:lang w:val="en-US" w:eastAsia="zh-CN"/>
        </w:rPr>
        <w:t xml:space="preserve">the reference architecture </w:t>
      </w:r>
      <w:r w:rsidR="00542C10">
        <w:rPr>
          <w:kern w:val="2"/>
          <w:lang w:val="en-US" w:eastAsia="zh-CN"/>
        </w:rPr>
        <w:t xml:space="preserve">or the work scope </w:t>
      </w:r>
      <w:r>
        <w:rPr>
          <w:kern w:val="2"/>
          <w:lang w:val="en-US" w:eastAsia="zh-CN"/>
        </w:rPr>
        <w:t xml:space="preserve">for type 4 UE which is being discussed under the open WI on </w:t>
      </w:r>
      <w:r>
        <w:rPr>
          <w:rFonts w:ascii="Arial" w:eastAsiaTheme="minorEastAsia" w:hAnsi="Arial" w:cs="Arial"/>
          <w:sz w:val="18"/>
          <w:szCs w:val="18"/>
        </w:rPr>
        <w:t>s</w:t>
      </w:r>
      <w:r w:rsidRPr="0052514D">
        <w:rPr>
          <w:rFonts w:ascii="Arial" w:eastAsiaTheme="minorEastAsia" w:hAnsi="Arial" w:cs="Arial"/>
          <w:sz w:val="18"/>
          <w:szCs w:val="18"/>
        </w:rPr>
        <w:t>upport of intra-band non-collocated EN-DC/NR-CA deployment Phase2: new receiver type(s)</w:t>
      </w:r>
      <w:r w:rsidR="004D1D66">
        <w:rPr>
          <w:rFonts w:ascii="Arial" w:eastAsiaTheme="minorEastAsia" w:hAnsi="Arial" w:cs="Arial"/>
          <w:sz w:val="18"/>
          <w:szCs w:val="18"/>
        </w:rPr>
        <w:t xml:space="preserve"> [2]</w:t>
      </w:r>
      <w:r>
        <w:rPr>
          <w:rFonts w:ascii="Arial" w:eastAsiaTheme="minorEastAsia" w:hAnsi="Arial" w:cs="Arial"/>
          <w:sz w:val="18"/>
          <w:szCs w:val="18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010D22BB" w14:textId="707A2B0F" w:rsidR="00195953" w:rsidRPr="009159A9" w:rsidRDefault="00C545DA" w:rsidP="001159F1">
      <w:pPr>
        <w:rPr>
          <w:lang w:val="en-US" w:eastAsia="zh-CN"/>
        </w:rPr>
      </w:pPr>
      <w:r>
        <w:t xml:space="preserve">The following reference architecture </w:t>
      </w:r>
      <w:r w:rsidR="00473D8D">
        <w:t>has been</w:t>
      </w:r>
      <w:r>
        <w:t xml:space="preserve"> used as the baseline for type 4 UE capability and requirement development.</w:t>
      </w:r>
      <w:r w:rsidR="00F05DE6">
        <w:t xml:space="preserve"> From the table, it indicates th</w:t>
      </w:r>
      <w:r w:rsidR="009159A9">
        <w:t>at</w:t>
      </w:r>
      <w:r w:rsidR="00F05DE6">
        <w:t xml:space="preserve"> type 4 UE has 6/8 independent Rx chain from LNA to </w:t>
      </w:r>
      <w:proofErr w:type="spellStart"/>
      <w:r w:rsidR="00F05DE6">
        <w:t>analog</w:t>
      </w:r>
      <w:proofErr w:type="spellEnd"/>
      <w:r w:rsidR="00F05DE6">
        <w:t xml:space="preserve"> B</w:t>
      </w:r>
      <w:r w:rsidR="009159A9">
        <w:rPr>
          <w:rFonts w:hint="eastAsia"/>
          <w:lang w:eastAsia="zh-CN"/>
        </w:rPr>
        <w:t>B</w:t>
      </w:r>
      <w:r w:rsidR="009159A9">
        <w:rPr>
          <w:lang w:val="en-US" w:eastAsia="zh-CN"/>
        </w:rPr>
        <w:t xml:space="preserve"> without further splitting after LNA for each Rx chain.</w:t>
      </w:r>
    </w:p>
    <w:p w14:paraId="6985A4E9" w14:textId="11AA8B30" w:rsidR="00C545DA" w:rsidRPr="00C545DA" w:rsidRDefault="00C545DA" w:rsidP="00C545DA">
      <w:pPr>
        <w:pStyle w:val="TH"/>
        <w:spacing w:after="120"/>
        <w:rPr>
          <w:rFonts w:eastAsia="Times New Roman"/>
          <w:sz w:val="18"/>
          <w:szCs w:val="18"/>
          <w:lang w:eastAsia="zh-CN"/>
        </w:rPr>
      </w:pPr>
      <w:r w:rsidRPr="00C545DA">
        <w:rPr>
          <w:rFonts w:eastAsia="Times New Roman"/>
          <w:sz w:val="18"/>
          <w:szCs w:val="18"/>
          <w:lang w:eastAsia="zh-CN"/>
        </w:rPr>
        <w:t>Table 2.1-1 reference architecture for type 4 UE</w:t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684"/>
        <w:gridCol w:w="605"/>
        <w:gridCol w:w="565"/>
        <w:gridCol w:w="882"/>
        <w:gridCol w:w="808"/>
        <w:gridCol w:w="850"/>
        <w:gridCol w:w="2435"/>
        <w:gridCol w:w="1255"/>
        <w:gridCol w:w="1697"/>
      </w:tblGrid>
      <w:tr w:rsidR="00C545DA" w:rsidRPr="007E6663" w14:paraId="2817B75D" w14:textId="77777777" w:rsidTr="00473D8D">
        <w:trPr>
          <w:trHeight w:val="318"/>
        </w:trPr>
        <w:tc>
          <w:tcPr>
            <w:tcW w:w="684" w:type="dxa"/>
          </w:tcPr>
          <w:p w14:paraId="45028096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UE type</w:t>
            </w:r>
          </w:p>
        </w:tc>
        <w:tc>
          <w:tcPr>
            <w:tcW w:w="605" w:type="dxa"/>
          </w:tcPr>
          <w:p w14:paraId="0C0BC413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CC#</w:t>
            </w:r>
          </w:p>
        </w:tc>
        <w:tc>
          <w:tcPr>
            <w:tcW w:w="1447" w:type="dxa"/>
            <w:gridSpan w:val="2"/>
          </w:tcPr>
          <w:p w14:paraId="3A6DCE9D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Antenna/LNA</w:t>
            </w:r>
          </w:p>
        </w:tc>
        <w:tc>
          <w:tcPr>
            <w:tcW w:w="808" w:type="dxa"/>
          </w:tcPr>
          <w:p w14:paraId="219C4257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mixer</w:t>
            </w:r>
          </w:p>
        </w:tc>
        <w:tc>
          <w:tcPr>
            <w:tcW w:w="850" w:type="dxa"/>
          </w:tcPr>
          <w:p w14:paraId="02A9CD44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Analog BB</w:t>
            </w:r>
          </w:p>
        </w:tc>
        <w:tc>
          <w:tcPr>
            <w:tcW w:w="2435" w:type="dxa"/>
          </w:tcPr>
          <w:p w14:paraId="47344C05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Frequency separation</w:t>
            </w:r>
          </w:p>
        </w:tc>
        <w:tc>
          <w:tcPr>
            <w:tcW w:w="1255" w:type="dxa"/>
          </w:tcPr>
          <w:p w14:paraId="3C553D00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NR CA/EN-DC</w:t>
            </w:r>
          </w:p>
        </w:tc>
        <w:tc>
          <w:tcPr>
            <w:tcW w:w="1697" w:type="dxa"/>
          </w:tcPr>
          <w:p w14:paraId="2D120A09" w14:textId="77777777" w:rsidR="00C545DA" w:rsidRPr="007E6663" w:rsidRDefault="00C545DA" w:rsidP="0041556D">
            <w:pPr>
              <w:pStyle w:val="TAH"/>
              <w:rPr>
                <w:rFonts w:eastAsia="SimSun"/>
                <w:lang w:eastAsia="en-GB"/>
              </w:rPr>
            </w:pPr>
            <w:r w:rsidRPr="007E6663">
              <w:rPr>
                <w:rFonts w:eastAsia="SimSun"/>
                <w:lang w:eastAsia="en-GB"/>
              </w:rPr>
              <w:t>Power imbalance</w:t>
            </w:r>
          </w:p>
        </w:tc>
      </w:tr>
      <w:tr w:rsidR="00C545DA" w:rsidRPr="007E6663" w14:paraId="2AC7000A" w14:textId="77777777" w:rsidTr="00473D8D">
        <w:trPr>
          <w:trHeight w:val="228"/>
        </w:trPr>
        <w:tc>
          <w:tcPr>
            <w:tcW w:w="684" w:type="dxa"/>
            <w:vMerge w:val="restart"/>
          </w:tcPr>
          <w:p w14:paraId="30E23830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4a</w:t>
            </w:r>
          </w:p>
        </w:tc>
        <w:tc>
          <w:tcPr>
            <w:tcW w:w="605" w:type="dxa"/>
          </w:tcPr>
          <w:p w14:paraId="71925543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565" w:type="dxa"/>
          </w:tcPr>
          <w:p w14:paraId="15DDE4A7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82" w:type="dxa"/>
            <w:vMerge w:val="restart"/>
          </w:tcPr>
          <w:p w14:paraId="7C999123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6 total</w:t>
            </w:r>
          </w:p>
        </w:tc>
        <w:tc>
          <w:tcPr>
            <w:tcW w:w="808" w:type="dxa"/>
          </w:tcPr>
          <w:p w14:paraId="2A61EDF1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50" w:type="dxa"/>
          </w:tcPr>
          <w:p w14:paraId="09F2048E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2435" w:type="dxa"/>
            <w:vMerge w:val="restart"/>
          </w:tcPr>
          <w:p w14:paraId="24A5726F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No limitation or &lt;X MHz</w:t>
            </w:r>
          </w:p>
        </w:tc>
        <w:tc>
          <w:tcPr>
            <w:tcW w:w="1255" w:type="dxa"/>
            <w:vMerge w:val="restart"/>
          </w:tcPr>
          <w:p w14:paraId="7A23E4A9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EN-DC</w:t>
            </w:r>
          </w:p>
        </w:tc>
        <w:tc>
          <w:tcPr>
            <w:tcW w:w="1697" w:type="dxa"/>
            <w:vMerge w:val="restart"/>
          </w:tcPr>
          <w:p w14:paraId="4E082D84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25dB full range</w:t>
            </w:r>
          </w:p>
        </w:tc>
      </w:tr>
      <w:tr w:rsidR="00C545DA" w:rsidRPr="007E6663" w14:paraId="05E12F88" w14:textId="77777777" w:rsidTr="00473D8D">
        <w:trPr>
          <w:trHeight w:val="106"/>
        </w:trPr>
        <w:tc>
          <w:tcPr>
            <w:tcW w:w="684" w:type="dxa"/>
            <w:vMerge/>
          </w:tcPr>
          <w:p w14:paraId="2F59465E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05" w:type="dxa"/>
          </w:tcPr>
          <w:p w14:paraId="0EED499C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565" w:type="dxa"/>
          </w:tcPr>
          <w:p w14:paraId="402DA7C2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882" w:type="dxa"/>
            <w:vMerge/>
          </w:tcPr>
          <w:p w14:paraId="32899F42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808" w:type="dxa"/>
          </w:tcPr>
          <w:p w14:paraId="64AF8263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850" w:type="dxa"/>
          </w:tcPr>
          <w:p w14:paraId="3C2A00E2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2435" w:type="dxa"/>
            <w:vMerge/>
          </w:tcPr>
          <w:p w14:paraId="3270ADAD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255" w:type="dxa"/>
            <w:vMerge/>
          </w:tcPr>
          <w:p w14:paraId="27C39BF1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697" w:type="dxa"/>
            <w:vMerge/>
          </w:tcPr>
          <w:p w14:paraId="16423B14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</w:tr>
      <w:tr w:rsidR="00C545DA" w:rsidRPr="007E6663" w14:paraId="491FB7CD" w14:textId="77777777" w:rsidTr="00473D8D">
        <w:trPr>
          <w:trHeight w:val="73"/>
        </w:trPr>
        <w:tc>
          <w:tcPr>
            <w:tcW w:w="684" w:type="dxa"/>
            <w:vMerge w:val="restart"/>
          </w:tcPr>
          <w:p w14:paraId="2AE92FE7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4b</w:t>
            </w:r>
          </w:p>
        </w:tc>
        <w:tc>
          <w:tcPr>
            <w:tcW w:w="605" w:type="dxa"/>
          </w:tcPr>
          <w:p w14:paraId="4EDF6CEF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565" w:type="dxa"/>
          </w:tcPr>
          <w:p w14:paraId="6C62F99E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82" w:type="dxa"/>
            <w:vMerge w:val="restart"/>
          </w:tcPr>
          <w:p w14:paraId="2C0F18B6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8 total</w:t>
            </w:r>
          </w:p>
        </w:tc>
        <w:tc>
          <w:tcPr>
            <w:tcW w:w="808" w:type="dxa"/>
          </w:tcPr>
          <w:p w14:paraId="5A33D0C3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50" w:type="dxa"/>
          </w:tcPr>
          <w:p w14:paraId="10DCB018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2435" w:type="dxa"/>
            <w:vMerge w:val="restart"/>
          </w:tcPr>
          <w:p w14:paraId="7D5C47BB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No limitation or &lt;X MHz</w:t>
            </w:r>
          </w:p>
        </w:tc>
        <w:tc>
          <w:tcPr>
            <w:tcW w:w="1255" w:type="dxa"/>
            <w:vMerge w:val="restart"/>
          </w:tcPr>
          <w:p w14:paraId="5838C7EB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NR CA, EN-DC</w:t>
            </w:r>
          </w:p>
        </w:tc>
        <w:tc>
          <w:tcPr>
            <w:tcW w:w="1697" w:type="dxa"/>
            <w:vMerge w:val="restart"/>
          </w:tcPr>
          <w:p w14:paraId="155A6D4C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25dB full range</w:t>
            </w:r>
          </w:p>
        </w:tc>
      </w:tr>
      <w:tr w:rsidR="00C545DA" w:rsidRPr="007E6663" w14:paraId="6E627BC6" w14:textId="77777777" w:rsidTr="00473D8D">
        <w:trPr>
          <w:trHeight w:val="54"/>
        </w:trPr>
        <w:tc>
          <w:tcPr>
            <w:tcW w:w="684" w:type="dxa"/>
            <w:vMerge/>
          </w:tcPr>
          <w:p w14:paraId="60DB2057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05" w:type="dxa"/>
          </w:tcPr>
          <w:p w14:paraId="5174A6E3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565" w:type="dxa"/>
          </w:tcPr>
          <w:p w14:paraId="033320EB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82" w:type="dxa"/>
            <w:vMerge/>
          </w:tcPr>
          <w:p w14:paraId="5B8291AA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808" w:type="dxa"/>
          </w:tcPr>
          <w:p w14:paraId="3B1B0CBD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50" w:type="dxa"/>
          </w:tcPr>
          <w:p w14:paraId="17C4814F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  <w:r w:rsidRPr="007E6663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2435" w:type="dxa"/>
            <w:vMerge/>
          </w:tcPr>
          <w:p w14:paraId="68A17496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255" w:type="dxa"/>
            <w:vMerge/>
          </w:tcPr>
          <w:p w14:paraId="150283E0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1697" w:type="dxa"/>
            <w:vMerge/>
          </w:tcPr>
          <w:p w14:paraId="1C89D2A3" w14:textId="77777777" w:rsidR="00C545DA" w:rsidRPr="007E6663" w:rsidRDefault="00C545DA" w:rsidP="0041556D">
            <w:pPr>
              <w:pStyle w:val="TAC"/>
              <w:rPr>
                <w:rFonts w:eastAsia="Times New Roman"/>
                <w:lang w:eastAsia="en-GB"/>
              </w:rPr>
            </w:pPr>
          </w:p>
        </w:tc>
      </w:tr>
    </w:tbl>
    <w:p w14:paraId="4521F6EA" w14:textId="77777777" w:rsidR="00C545DA" w:rsidRDefault="00C545DA" w:rsidP="001159F1"/>
    <w:p w14:paraId="0D660A4D" w14:textId="43181C76" w:rsidR="00C545DA" w:rsidRDefault="00C545DA" w:rsidP="001159F1">
      <w:r>
        <w:t>In RAN4#</w:t>
      </w:r>
      <w:r w:rsidR="00473D8D">
        <w:t>110bis meeting, the following</w:t>
      </w:r>
      <w:r w:rsidR="00F05DE6">
        <w:t xml:space="preserve"> capability set was agreed [3]</w:t>
      </w:r>
      <w:r w:rsidR="009159A9">
        <w:t xml:space="preserve"> to be supported by type 4 UE based on the agreed reference architecture</w:t>
      </w:r>
      <w:r w:rsidR="00F05DE6">
        <w:t>.</w:t>
      </w:r>
      <w:r w:rsidR="004A21D7" w:rsidRPr="004A21D7">
        <w:t xml:space="preserve"> </w:t>
      </w:r>
      <w:r w:rsidR="009159A9">
        <w:t>It means t</w:t>
      </w:r>
      <w:r w:rsidR="004A21D7">
        <w:t>ype</w:t>
      </w:r>
      <w:r w:rsidR="004A21D7" w:rsidRPr="00C01A19">
        <w:t xml:space="preserve"> 4 UE needs to do </w:t>
      </w:r>
      <w:r w:rsidR="009159A9">
        <w:t xml:space="preserve">hardware </w:t>
      </w:r>
      <w:r w:rsidR="004A21D7" w:rsidRPr="00C01A19">
        <w:t>reconfiguration</w:t>
      </w:r>
      <w:r w:rsidR="004A21D7">
        <w:t xml:space="preserve"> </w:t>
      </w:r>
      <w:r w:rsidR="004A21D7" w:rsidRPr="00C01A19">
        <w:t xml:space="preserve">to support different </w:t>
      </w:r>
      <w:r w:rsidR="004A21D7">
        <w:t>capability set in collocated condition and non-collocated condition respectively. Given the agreed reference architecture, when collocated condition is met, the UE will fully share 6/8 Rx chains for both CCs to support non-contiguous CA between these 2 CCs.</w:t>
      </w:r>
    </w:p>
    <w:p w14:paraId="25CF4B42" w14:textId="3F327198" w:rsidR="00473D8D" w:rsidRDefault="00473D8D" w:rsidP="001159F1">
      <w:r>
        <w:rPr>
          <w:noProof/>
        </w:rPr>
        <w:lastRenderedPageBreak/>
        <w:drawing>
          <wp:inline distT="0" distB="0" distL="0" distR="0" wp14:anchorId="4D9B21BF" wp14:editId="4482609B">
            <wp:extent cx="5935110" cy="1970560"/>
            <wp:effectExtent l="114300" t="88900" r="123190" b="125095"/>
            <wp:docPr id="2077631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734" cy="19724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E6B21CA" w14:textId="64D56204" w:rsidR="00DA20E6" w:rsidRPr="00DA20E6" w:rsidRDefault="00DA20E6" w:rsidP="001159F1">
      <w:pPr>
        <w:rPr>
          <w:b/>
          <w:bCs/>
          <w:i/>
          <w:iCs/>
        </w:rPr>
      </w:pPr>
      <w:r w:rsidRPr="00DA20E6">
        <w:rPr>
          <w:b/>
          <w:bCs/>
          <w:i/>
          <w:iCs/>
        </w:rPr>
        <w:t xml:space="preserve">Observation 1: Type 4 UE assumes fully shared Rx chain </w:t>
      </w:r>
      <w:r>
        <w:rPr>
          <w:b/>
          <w:bCs/>
          <w:i/>
          <w:iCs/>
        </w:rPr>
        <w:t xml:space="preserve">RF architecture </w:t>
      </w:r>
      <w:r w:rsidRPr="00DA20E6">
        <w:rPr>
          <w:b/>
          <w:bCs/>
          <w:i/>
          <w:iCs/>
        </w:rPr>
        <w:t xml:space="preserve">between non-contiguous CCs when collocated condition is met. </w:t>
      </w:r>
    </w:p>
    <w:p w14:paraId="7C314E0F" w14:textId="17FADFDF" w:rsidR="00473D8D" w:rsidRPr="00DA20E6" w:rsidRDefault="00C01A19" w:rsidP="001159F1">
      <w:r>
        <w:t xml:space="preserve">While this seems not compliant with what is agreed for intra-band non-contiguous CA as indicated in TR 36.823. As </w:t>
      </w:r>
      <w:r w:rsidR="00815ED9">
        <w:t>shown</w:t>
      </w:r>
      <w:r>
        <w:t xml:space="preserve"> in </w:t>
      </w:r>
      <w:r w:rsidR="00815ED9">
        <w:t>Section</w:t>
      </w:r>
      <w:r>
        <w:t xml:space="preserve"> </w:t>
      </w:r>
      <w:r w:rsidR="00815ED9">
        <w:t>6.2.3.1</w:t>
      </w:r>
      <w:r w:rsidR="004A21D7">
        <w:t xml:space="preserve"> (reproduced below),</w:t>
      </w:r>
      <w:r w:rsidR="00815ED9">
        <w:t xml:space="preserve"> t</w:t>
      </w:r>
      <w:r>
        <w:t>o support non-contiguous intra-b</w:t>
      </w:r>
      <w:r w:rsidR="00B8148D">
        <w:t xml:space="preserve">and CA, separate Rx chain is needed for each CC. Only the first LNA is shared between CCs </w:t>
      </w:r>
      <w:r w:rsidR="00815ED9">
        <w:t>and the signal will be divided and handled by different Rx chain after the signal division component. The motivation on this reference architecture is that</w:t>
      </w:r>
      <w:r w:rsidR="00DA20E6">
        <w:rPr>
          <w:rFonts w:hint="eastAsia"/>
        </w:rPr>
        <w:t xml:space="preserve"> </w:t>
      </w:r>
      <w:r w:rsidR="00DA20E6" w:rsidRPr="00DA20E6">
        <w:rPr>
          <w:rFonts w:hint="eastAsia"/>
        </w:rPr>
        <w:t>b</w:t>
      </w:r>
      <w:r w:rsidR="00DA20E6" w:rsidRPr="00DA20E6">
        <w:t>oth non-contiguous carriers should satisfy the Rel-8 ACS requirements</w:t>
      </w:r>
      <w:r w:rsidR="00DA20E6" w:rsidRPr="00DA20E6">
        <w:rPr>
          <w:rFonts w:hint="eastAsia"/>
        </w:rPr>
        <w:t xml:space="preserve"> for the in-GAP frequency range</w:t>
      </w:r>
      <w:r w:rsidR="00DA20E6" w:rsidRPr="00DA20E6">
        <w:t>.</w:t>
      </w:r>
    </w:p>
    <w:p w14:paraId="611ECFA2" w14:textId="4CAD3CB9" w:rsidR="00C01A19" w:rsidRPr="00C01A19" w:rsidRDefault="00C01A19" w:rsidP="001159F1">
      <w:r>
        <w:rPr>
          <w:noProof/>
        </w:rPr>
        <w:drawing>
          <wp:inline distT="0" distB="0" distL="0" distR="0" wp14:anchorId="6E1F1FAC" wp14:editId="07CDD0E4">
            <wp:extent cx="5976454" cy="3692268"/>
            <wp:effectExtent l="101600" t="88900" r="107315" b="118110"/>
            <wp:docPr id="12059933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527" cy="371393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821E98D" w14:textId="6CD4B4DF" w:rsidR="00DA20E6" w:rsidRPr="00AB7285" w:rsidRDefault="00DA20E6" w:rsidP="001159F1">
      <w:pPr>
        <w:rPr>
          <w:b/>
          <w:bCs/>
          <w:i/>
          <w:iCs/>
          <w:lang w:eastAsia="zh-CN"/>
        </w:rPr>
      </w:pPr>
      <w:r w:rsidRPr="00DA20E6">
        <w:rPr>
          <w:b/>
          <w:bCs/>
          <w:i/>
          <w:iCs/>
        </w:rPr>
        <w:t>Observation 2: Partially shared Rx RF architecture was assumed for non-contiguous intra-band CA as shown in Figure 6.2.3.1-1 in TR 36.823.</w:t>
      </w:r>
    </w:p>
    <w:p w14:paraId="30CB87C4" w14:textId="2EB789D0" w:rsidR="00376809" w:rsidRDefault="00DA20E6" w:rsidP="001159F1">
      <w:r>
        <w:t xml:space="preserve">Back to type 4 UE discussion, fully shared architecture </w:t>
      </w:r>
      <w:r w:rsidR="00376809">
        <w:t xml:space="preserve">as indicated by observation 1 </w:t>
      </w:r>
      <w:r>
        <w:t xml:space="preserve">can only be </w:t>
      </w:r>
      <w:r w:rsidR="00376809">
        <w:t>workable when it is interference free at in-GAP frequency range. Otherwise, the Rx chain sharing will result performance degradation or even not workable depending on the interference level observed by the UE. Since the in-GAP interference is caused by another operator and not controllable, it is suggested RAN4 to study the following options a remedy solution</w:t>
      </w:r>
      <w:r w:rsidR="009159A9">
        <w:t xml:space="preserve"> for type 4 UE</w:t>
      </w:r>
      <w:r w:rsidR="00376809">
        <w:t>.</w:t>
      </w:r>
    </w:p>
    <w:p w14:paraId="75FDD577" w14:textId="7E41F8FA" w:rsidR="00376809" w:rsidRPr="00376809" w:rsidRDefault="00376809" w:rsidP="00376809">
      <w:r w:rsidRPr="00376809">
        <w:t>Option 1: Rediscuss the reference architecture for type 4 supporting both capability sets.</w:t>
      </w:r>
    </w:p>
    <w:p w14:paraId="2B10A6A8" w14:textId="46CE0B8D" w:rsidR="00376809" w:rsidRPr="00376809" w:rsidRDefault="00376809" w:rsidP="00376809">
      <w:r w:rsidRPr="00376809">
        <w:lastRenderedPageBreak/>
        <w:t>Option 2: Type 4 UE does not support reconfiguration to 8Rx type 1 capability.</w:t>
      </w:r>
    </w:p>
    <w:p w14:paraId="7B68CC36" w14:textId="1BB51229" w:rsidR="00C545DA" w:rsidRPr="00376809" w:rsidRDefault="00376809" w:rsidP="00376809">
      <w:r w:rsidRPr="00376809">
        <w:t xml:space="preserve">Option 3:  Conduct in-GAP interference assessment and </w:t>
      </w:r>
      <w:r w:rsidR="00B06534">
        <w:t xml:space="preserve">introduce </w:t>
      </w:r>
      <w:r w:rsidRPr="00376809">
        <w:t>assistant information to support type 4 UE reconfiguration.</w:t>
      </w:r>
    </w:p>
    <w:p w14:paraId="078BFA6D" w14:textId="192A874B" w:rsidR="00C545DA" w:rsidRPr="00AB7285" w:rsidRDefault="00376809" w:rsidP="001159F1">
      <w:pPr>
        <w:rPr>
          <w:b/>
          <w:bCs/>
          <w:i/>
          <w:iCs/>
        </w:rPr>
      </w:pPr>
      <w:r w:rsidRPr="00AB7285">
        <w:rPr>
          <w:b/>
          <w:bCs/>
          <w:i/>
          <w:iCs/>
        </w:rPr>
        <w:t xml:space="preserve">Proposal: RAN4 discuss </w:t>
      </w:r>
      <w:r w:rsidR="00AB7285" w:rsidRPr="00AB7285">
        <w:rPr>
          <w:b/>
          <w:bCs/>
          <w:i/>
          <w:iCs/>
        </w:rPr>
        <w:t>the identified issue for type 4 UE based on the following 3 options.</w:t>
      </w:r>
    </w:p>
    <w:p w14:paraId="52CFBF30" w14:textId="7EF04F66" w:rsidR="00AB7285" w:rsidRPr="00AB7285" w:rsidRDefault="00AB7285" w:rsidP="00AB7285">
      <w:pPr>
        <w:ind w:left="568" w:firstLine="284"/>
        <w:rPr>
          <w:b/>
          <w:bCs/>
          <w:i/>
          <w:iCs/>
        </w:rPr>
      </w:pPr>
      <w:r w:rsidRPr="00AB7285">
        <w:rPr>
          <w:b/>
          <w:bCs/>
          <w:i/>
          <w:iCs/>
        </w:rPr>
        <w:t xml:space="preserve">Option 1: Rediscuss </w:t>
      </w:r>
      <w:r w:rsidR="009159A9">
        <w:rPr>
          <w:b/>
          <w:bCs/>
          <w:i/>
          <w:iCs/>
        </w:rPr>
        <w:t xml:space="preserve">and </w:t>
      </w:r>
      <w:r w:rsidR="00AF0D68">
        <w:rPr>
          <w:b/>
          <w:bCs/>
          <w:i/>
          <w:iCs/>
        </w:rPr>
        <w:t>update</w:t>
      </w:r>
      <w:r w:rsidR="009159A9">
        <w:rPr>
          <w:b/>
          <w:bCs/>
          <w:i/>
          <w:iCs/>
        </w:rPr>
        <w:t xml:space="preserve"> </w:t>
      </w:r>
      <w:r w:rsidRPr="00AB7285">
        <w:rPr>
          <w:b/>
          <w:bCs/>
          <w:i/>
          <w:iCs/>
        </w:rPr>
        <w:t>the reference architecture for type 4</w:t>
      </w:r>
      <w:r w:rsidR="00AF0D68">
        <w:rPr>
          <w:b/>
          <w:bCs/>
          <w:i/>
          <w:iCs/>
        </w:rPr>
        <w:t xml:space="preserve"> UE</w:t>
      </w:r>
      <w:r w:rsidRPr="00AB7285">
        <w:rPr>
          <w:b/>
          <w:bCs/>
          <w:i/>
          <w:iCs/>
        </w:rPr>
        <w:t>.</w:t>
      </w:r>
    </w:p>
    <w:p w14:paraId="06E6746D" w14:textId="7391850E" w:rsidR="00AB7285" w:rsidRPr="00AB7285" w:rsidRDefault="00AB7285" w:rsidP="00AB7285">
      <w:pPr>
        <w:ind w:left="568" w:firstLine="284"/>
        <w:rPr>
          <w:b/>
          <w:bCs/>
          <w:i/>
          <w:iCs/>
        </w:rPr>
      </w:pPr>
      <w:r w:rsidRPr="00AB7285">
        <w:rPr>
          <w:b/>
          <w:bCs/>
          <w:i/>
          <w:iCs/>
        </w:rPr>
        <w:t>Option 2: Type 4 UE does not support reconfiguration to 8Rx type 1 capability.</w:t>
      </w:r>
    </w:p>
    <w:p w14:paraId="1599B35B" w14:textId="2596F382" w:rsidR="00165A5F" w:rsidRDefault="00165A5F" w:rsidP="00165A5F">
      <w:pPr>
        <w:ind w:left="568" w:firstLine="284"/>
        <w:rPr>
          <w:b/>
          <w:bCs/>
          <w:i/>
          <w:iCs/>
        </w:rPr>
      </w:pPr>
      <w:r w:rsidRPr="00AB7285">
        <w:rPr>
          <w:b/>
          <w:bCs/>
          <w:i/>
          <w:iCs/>
        </w:rPr>
        <w:t xml:space="preserve">Option 3:  </w:t>
      </w:r>
      <w:r w:rsidR="00483D51">
        <w:rPr>
          <w:b/>
          <w:bCs/>
          <w:i/>
          <w:iCs/>
        </w:rPr>
        <w:t>Discuss necessary assistant information to support</w:t>
      </w:r>
      <w:r w:rsidR="00483D51" w:rsidRPr="00AB7285">
        <w:rPr>
          <w:b/>
          <w:bCs/>
          <w:i/>
          <w:iCs/>
        </w:rPr>
        <w:t xml:space="preserve"> UE reconfiguration.</w:t>
      </w:r>
    </w:p>
    <w:p w14:paraId="4C019C20" w14:textId="4F260B27" w:rsidR="009159A9" w:rsidRPr="00AB7285" w:rsidRDefault="009159A9" w:rsidP="009159A9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3: Same problem exists for type 2 UE given the assumption is the same between type 2 and type 4.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B206668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2C625B">
        <w:rPr>
          <w:lang w:eastAsia="zh-CN"/>
        </w:rPr>
        <w:t xml:space="preserve">view on </w:t>
      </w:r>
      <w:r w:rsidR="00AB7285">
        <w:rPr>
          <w:lang w:eastAsia="zh-CN"/>
        </w:rPr>
        <w:t xml:space="preserve">new identified issue related to </w:t>
      </w:r>
      <w:r w:rsidR="00AB7285" w:rsidRPr="00AB7285">
        <w:rPr>
          <w:lang w:eastAsia="zh-CN"/>
        </w:rPr>
        <w:t>type 4 UE reference architecture/capability</w:t>
      </w:r>
      <w:r w:rsidR="00AB7285">
        <w:rPr>
          <w:lang w:eastAsia="zh-CN"/>
        </w:rPr>
        <w:t>.</w:t>
      </w:r>
      <w:r w:rsidR="00BA3279">
        <w:rPr>
          <w:lang w:eastAsia="zh-CN"/>
        </w:rPr>
        <w:t xml:space="preserve"> The following </w:t>
      </w:r>
      <w:r w:rsidR="009A36B4">
        <w:rPr>
          <w:lang w:eastAsia="zh-CN"/>
        </w:rPr>
        <w:t xml:space="preserve">observation and </w:t>
      </w:r>
      <w:r w:rsidR="00BA3279">
        <w:rPr>
          <w:lang w:eastAsia="zh-CN"/>
        </w:rPr>
        <w:t>proposal are concluded</w:t>
      </w:r>
      <w:r w:rsidR="000537FA">
        <w:rPr>
          <w:lang w:eastAsia="zh-CN"/>
        </w:rPr>
        <w:t>.</w:t>
      </w:r>
    </w:p>
    <w:p w14:paraId="1ACC8E38" w14:textId="77777777" w:rsidR="00AB7285" w:rsidRPr="00DA20E6" w:rsidRDefault="00AB7285" w:rsidP="00AB7285">
      <w:pPr>
        <w:rPr>
          <w:b/>
          <w:bCs/>
          <w:i/>
          <w:iCs/>
        </w:rPr>
      </w:pPr>
      <w:r w:rsidRPr="00DA20E6">
        <w:rPr>
          <w:b/>
          <w:bCs/>
          <w:i/>
          <w:iCs/>
        </w:rPr>
        <w:t xml:space="preserve">Observation 1: Type 4 UE assumes fully shared Rx chain </w:t>
      </w:r>
      <w:r>
        <w:rPr>
          <w:b/>
          <w:bCs/>
          <w:i/>
          <w:iCs/>
        </w:rPr>
        <w:t xml:space="preserve">RF architecture </w:t>
      </w:r>
      <w:r w:rsidRPr="00DA20E6">
        <w:rPr>
          <w:b/>
          <w:bCs/>
          <w:i/>
          <w:iCs/>
        </w:rPr>
        <w:t xml:space="preserve">between non-contiguous CCs when collocated condition is met. </w:t>
      </w:r>
    </w:p>
    <w:p w14:paraId="3478CB58" w14:textId="77777777" w:rsidR="00AB7285" w:rsidRPr="00AB7285" w:rsidRDefault="00AB7285" w:rsidP="00AB7285">
      <w:pPr>
        <w:rPr>
          <w:b/>
          <w:bCs/>
          <w:i/>
          <w:iCs/>
          <w:lang w:eastAsia="zh-CN"/>
        </w:rPr>
      </w:pPr>
      <w:r w:rsidRPr="00DA20E6">
        <w:rPr>
          <w:b/>
          <w:bCs/>
          <w:i/>
          <w:iCs/>
        </w:rPr>
        <w:t>Observation 2: Partially shared Rx RF architecture was assumed for non-contiguous intra-band CA as shown in Figure 6.2.3.1-1 in TR 36.823.</w:t>
      </w:r>
    </w:p>
    <w:p w14:paraId="191DBB83" w14:textId="77777777" w:rsidR="00AB7285" w:rsidRPr="00AB7285" w:rsidRDefault="00AB7285" w:rsidP="00AB7285">
      <w:pPr>
        <w:rPr>
          <w:b/>
          <w:bCs/>
          <w:i/>
          <w:iCs/>
        </w:rPr>
      </w:pPr>
      <w:r w:rsidRPr="00AB7285">
        <w:rPr>
          <w:b/>
          <w:bCs/>
          <w:i/>
          <w:iCs/>
        </w:rPr>
        <w:t>Proposal: RAN4 discuss the identified issue for type 4 UE based on the following 3 options.</w:t>
      </w:r>
    </w:p>
    <w:p w14:paraId="24AF45D4" w14:textId="0F28B229" w:rsidR="00AB7285" w:rsidRPr="00AB7285" w:rsidRDefault="00AB7285" w:rsidP="00AB7285">
      <w:pPr>
        <w:ind w:left="568" w:firstLine="284"/>
        <w:rPr>
          <w:b/>
          <w:bCs/>
          <w:i/>
          <w:iCs/>
        </w:rPr>
      </w:pPr>
      <w:r w:rsidRPr="00AB7285">
        <w:rPr>
          <w:b/>
          <w:bCs/>
          <w:i/>
          <w:iCs/>
        </w:rPr>
        <w:t xml:space="preserve">Option 1: Rediscuss </w:t>
      </w:r>
      <w:r w:rsidR="00D4692F">
        <w:rPr>
          <w:b/>
          <w:bCs/>
          <w:i/>
          <w:iCs/>
        </w:rPr>
        <w:t xml:space="preserve">and update </w:t>
      </w:r>
      <w:r w:rsidRPr="00AB7285">
        <w:rPr>
          <w:b/>
          <w:bCs/>
          <w:i/>
          <w:iCs/>
        </w:rPr>
        <w:t xml:space="preserve">the reference architecture for type 4 </w:t>
      </w:r>
      <w:r w:rsidR="00AF0D68">
        <w:rPr>
          <w:b/>
          <w:bCs/>
          <w:i/>
          <w:iCs/>
        </w:rPr>
        <w:t>UE</w:t>
      </w:r>
      <w:r w:rsidRPr="00AB7285">
        <w:rPr>
          <w:b/>
          <w:bCs/>
          <w:i/>
          <w:iCs/>
        </w:rPr>
        <w:t>.</w:t>
      </w:r>
    </w:p>
    <w:p w14:paraId="73169ECE" w14:textId="77777777" w:rsidR="00AB7285" w:rsidRPr="00AB7285" w:rsidRDefault="00AB7285" w:rsidP="00AB7285">
      <w:pPr>
        <w:ind w:left="568" w:firstLine="284"/>
        <w:rPr>
          <w:b/>
          <w:bCs/>
          <w:i/>
          <w:iCs/>
        </w:rPr>
      </w:pPr>
      <w:r w:rsidRPr="00AB7285">
        <w:rPr>
          <w:b/>
          <w:bCs/>
          <w:i/>
          <w:iCs/>
        </w:rPr>
        <w:t>Option 2: Type 4 UE does not support reconfiguration to 8Rx type 1 capability.</w:t>
      </w:r>
    </w:p>
    <w:p w14:paraId="42AC1CD9" w14:textId="3A1209DA" w:rsidR="00AB7285" w:rsidRDefault="00AB7285" w:rsidP="00AB7285">
      <w:pPr>
        <w:ind w:left="568" w:firstLine="284"/>
        <w:rPr>
          <w:b/>
          <w:bCs/>
          <w:i/>
          <w:iCs/>
        </w:rPr>
      </w:pPr>
      <w:r w:rsidRPr="00AB7285">
        <w:rPr>
          <w:b/>
          <w:bCs/>
          <w:i/>
          <w:iCs/>
        </w:rPr>
        <w:t xml:space="preserve">Option 3:  </w:t>
      </w:r>
      <w:r w:rsidR="00483D51">
        <w:rPr>
          <w:b/>
          <w:bCs/>
          <w:i/>
          <w:iCs/>
        </w:rPr>
        <w:t>Discuss necessary assistant information to support</w:t>
      </w:r>
      <w:r w:rsidRPr="00AB7285">
        <w:rPr>
          <w:b/>
          <w:bCs/>
          <w:i/>
          <w:iCs/>
        </w:rPr>
        <w:t xml:space="preserve"> UE reconfiguration.</w:t>
      </w:r>
    </w:p>
    <w:p w14:paraId="3D4B4E35" w14:textId="261958B9" w:rsidR="009159A9" w:rsidRPr="00996611" w:rsidRDefault="009159A9" w:rsidP="009159A9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3: Same problem exists for type 2 UE given the assumption is the same between type 2 and type 4.</w:t>
      </w:r>
    </w:p>
    <w:p w14:paraId="560AD0E1" w14:textId="7F5380E2" w:rsidR="00B02AE0" w:rsidRPr="002C625B" w:rsidRDefault="00B02AE0" w:rsidP="002C625B">
      <w:pPr>
        <w:pStyle w:val="Heading1"/>
        <w:rPr>
          <w:rFonts w:eastAsia="SimSun"/>
          <w:lang w:eastAsia="zh-CN"/>
        </w:rPr>
      </w:pPr>
      <w:r w:rsidRPr="002C625B">
        <w:rPr>
          <w:rFonts w:eastAsia="SimSun"/>
          <w:lang w:eastAsia="zh-CN"/>
        </w:rPr>
        <w:t>References</w:t>
      </w:r>
    </w:p>
    <w:p w14:paraId="41845F5A" w14:textId="0F167D98" w:rsidR="00705345" w:rsidRDefault="00705345" w:rsidP="00705345">
      <w:pPr>
        <w:rPr>
          <w:lang w:eastAsia="zh-CN"/>
        </w:rPr>
      </w:pPr>
      <w:r>
        <w:rPr>
          <w:lang w:eastAsia="zh-CN"/>
        </w:rPr>
        <w:t xml:space="preserve">[1] </w:t>
      </w:r>
      <w:r w:rsidR="00E94FCD">
        <w:rPr>
          <w:lang w:eastAsia="zh-CN"/>
        </w:rPr>
        <w:t xml:space="preserve">R4-2411415, </w:t>
      </w:r>
      <w:r w:rsidR="00E94FCD" w:rsidRPr="00E94FCD">
        <w:rPr>
          <w:lang w:eastAsia="zh-CN"/>
        </w:rPr>
        <w:t>On type 4 UE capability, RAN4#112, Apple</w:t>
      </w:r>
    </w:p>
    <w:p w14:paraId="1B6BB3F3" w14:textId="7885EB51" w:rsidR="002C625B" w:rsidRDefault="002C625B" w:rsidP="00705345">
      <w:pPr>
        <w:rPr>
          <w:lang w:eastAsia="zh-CN"/>
        </w:rPr>
      </w:pPr>
      <w:r>
        <w:rPr>
          <w:lang w:eastAsia="zh-CN"/>
        </w:rPr>
        <w:t xml:space="preserve">[2] </w:t>
      </w:r>
      <w:r w:rsidR="00E94FCD">
        <w:rPr>
          <w:lang w:eastAsia="zh-CN"/>
        </w:rPr>
        <w:t xml:space="preserve">RP-240838, </w:t>
      </w:r>
      <w:r w:rsidR="00E94FCD" w:rsidRPr="0086190C">
        <w:rPr>
          <w:lang w:eastAsia="zh-CN"/>
        </w:rPr>
        <w:t>New WID: Support of intra-band non-collocated EN-DC/NR-CA deployment Phase2: new receiver type(s)</w:t>
      </w:r>
      <w:r w:rsidR="00E94FCD" w:rsidRPr="000930F6">
        <w:rPr>
          <w:lang w:eastAsia="zh-CN"/>
        </w:rPr>
        <w:t>, KDDI</w:t>
      </w:r>
    </w:p>
    <w:p w14:paraId="032B8B84" w14:textId="2EFC4211" w:rsidR="00E94FCD" w:rsidRDefault="00E94FCD" w:rsidP="00705345">
      <w:pPr>
        <w:rPr>
          <w:lang w:eastAsia="zh-CN"/>
        </w:rPr>
      </w:pPr>
      <w:r>
        <w:rPr>
          <w:lang w:eastAsia="zh-CN"/>
        </w:rPr>
        <w:t xml:space="preserve">[3] R4-2406627, </w:t>
      </w:r>
      <w:r w:rsidRPr="00E94FCD">
        <w:rPr>
          <w:lang w:eastAsia="zh-CN"/>
        </w:rPr>
        <w:t xml:space="preserve">WF on </w:t>
      </w:r>
      <w:proofErr w:type="spellStart"/>
      <w:r w:rsidRPr="00E94FCD">
        <w:rPr>
          <w:lang w:eastAsia="zh-CN"/>
        </w:rPr>
        <w:t>NonCol_intraB_ENDC_NR_CA</w:t>
      </w:r>
      <w:proofErr w:type="spellEnd"/>
      <w:r w:rsidRPr="00E94FCD">
        <w:rPr>
          <w:lang w:eastAsia="zh-CN"/>
        </w:rPr>
        <w:t>, RAN4#110bis, KDDI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9DD8B" w14:textId="77777777" w:rsidR="009A2369" w:rsidRDefault="009A2369">
      <w:r>
        <w:separator/>
      </w:r>
    </w:p>
  </w:endnote>
  <w:endnote w:type="continuationSeparator" w:id="0">
    <w:p w14:paraId="62D819C2" w14:textId="77777777" w:rsidR="009A2369" w:rsidRDefault="009A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90E40" w14:textId="77777777" w:rsidR="009A2369" w:rsidRDefault="009A2369">
      <w:r>
        <w:separator/>
      </w:r>
    </w:p>
  </w:footnote>
  <w:footnote w:type="continuationSeparator" w:id="0">
    <w:p w14:paraId="6C2EF3C1" w14:textId="77777777" w:rsidR="009A2369" w:rsidRDefault="009A2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5F9081C"/>
    <w:multiLevelType w:val="hybridMultilevel"/>
    <w:tmpl w:val="C6AE7CEC"/>
    <w:lvl w:ilvl="0" w:tplc="4E9638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9"/>
  </w:num>
  <w:num w:numId="2" w16cid:durableId="2022120795">
    <w:abstractNumId w:val="11"/>
  </w:num>
  <w:num w:numId="3" w16cid:durableId="1743016714">
    <w:abstractNumId w:val="15"/>
  </w:num>
  <w:num w:numId="4" w16cid:durableId="936059377">
    <w:abstractNumId w:val="18"/>
  </w:num>
  <w:num w:numId="5" w16cid:durableId="238949770">
    <w:abstractNumId w:val="6"/>
  </w:num>
  <w:num w:numId="6" w16cid:durableId="1084885530">
    <w:abstractNumId w:val="25"/>
  </w:num>
  <w:num w:numId="7" w16cid:durableId="1615013665">
    <w:abstractNumId w:val="11"/>
  </w:num>
  <w:num w:numId="8" w16cid:durableId="825124775">
    <w:abstractNumId w:val="11"/>
  </w:num>
  <w:num w:numId="9" w16cid:durableId="781607879">
    <w:abstractNumId w:val="16"/>
  </w:num>
  <w:num w:numId="10" w16cid:durableId="200674332">
    <w:abstractNumId w:val="17"/>
  </w:num>
  <w:num w:numId="11" w16cid:durableId="2053767489">
    <w:abstractNumId w:val="21"/>
  </w:num>
  <w:num w:numId="12" w16cid:durableId="1876768467">
    <w:abstractNumId w:val="11"/>
  </w:num>
  <w:num w:numId="13" w16cid:durableId="1274895905">
    <w:abstractNumId w:val="5"/>
  </w:num>
  <w:num w:numId="14" w16cid:durableId="620963921">
    <w:abstractNumId w:val="14"/>
  </w:num>
  <w:num w:numId="15" w16cid:durableId="1056127646">
    <w:abstractNumId w:val="11"/>
  </w:num>
  <w:num w:numId="16" w16cid:durableId="224801515">
    <w:abstractNumId w:val="11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28"/>
  </w:num>
  <w:num w:numId="21" w16cid:durableId="217399179">
    <w:abstractNumId w:val="4"/>
  </w:num>
  <w:num w:numId="22" w16cid:durableId="244195586">
    <w:abstractNumId w:val="10"/>
  </w:num>
  <w:num w:numId="23" w16cid:durableId="804546034">
    <w:abstractNumId w:val="26"/>
  </w:num>
  <w:num w:numId="24" w16cid:durableId="1115826582">
    <w:abstractNumId w:val="11"/>
  </w:num>
  <w:num w:numId="25" w16cid:durableId="1266156912">
    <w:abstractNumId w:val="11"/>
  </w:num>
  <w:num w:numId="26" w16cid:durableId="718945102">
    <w:abstractNumId w:val="11"/>
  </w:num>
  <w:num w:numId="27" w16cid:durableId="608857322">
    <w:abstractNumId w:val="12"/>
  </w:num>
  <w:num w:numId="28" w16cid:durableId="46758282">
    <w:abstractNumId w:val="13"/>
  </w:num>
  <w:num w:numId="29" w16cid:durableId="1595867779">
    <w:abstractNumId w:val="27"/>
  </w:num>
  <w:num w:numId="30" w16cid:durableId="411972842">
    <w:abstractNumId w:val="19"/>
  </w:num>
  <w:num w:numId="31" w16cid:durableId="333605945">
    <w:abstractNumId w:val="11"/>
  </w:num>
  <w:num w:numId="32" w16cid:durableId="29648963">
    <w:abstractNumId w:val="9"/>
  </w:num>
  <w:num w:numId="33" w16cid:durableId="1410076450">
    <w:abstractNumId w:val="11"/>
  </w:num>
  <w:num w:numId="34" w16cid:durableId="130176090">
    <w:abstractNumId w:val="11"/>
  </w:num>
  <w:num w:numId="35" w16cid:durableId="1187790019">
    <w:abstractNumId w:val="11"/>
  </w:num>
  <w:num w:numId="36" w16cid:durableId="991981165">
    <w:abstractNumId w:val="20"/>
  </w:num>
  <w:num w:numId="37" w16cid:durableId="637800717">
    <w:abstractNumId w:val="24"/>
  </w:num>
  <w:num w:numId="38" w16cid:durableId="240988415">
    <w:abstractNumId w:val="30"/>
  </w:num>
  <w:num w:numId="39" w16cid:durableId="592054345">
    <w:abstractNumId w:val="8"/>
  </w:num>
  <w:num w:numId="40" w16cid:durableId="1563174193">
    <w:abstractNumId w:val="11"/>
  </w:num>
  <w:num w:numId="41" w16cid:durableId="949893149">
    <w:abstractNumId w:val="7"/>
  </w:num>
  <w:num w:numId="42" w16cid:durableId="1679503603">
    <w:abstractNumId w:val="11"/>
  </w:num>
  <w:num w:numId="43" w16cid:durableId="1121849933">
    <w:abstractNumId w:val="3"/>
  </w:num>
  <w:num w:numId="44" w16cid:durableId="1845129738">
    <w:abstractNumId w:val="23"/>
  </w:num>
  <w:num w:numId="45" w16cid:durableId="1926256031">
    <w:abstractNumId w:val="11"/>
  </w:num>
  <w:num w:numId="46" w16cid:durableId="1122528944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0B5B"/>
    <w:rsid w:val="00031165"/>
    <w:rsid w:val="000315B9"/>
    <w:rsid w:val="00031CC0"/>
    <w:rsid w:val="00032561"/>
    <w:rsid w:val="000326E2"/>
    <w:rsid w:val="0003397A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307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17BD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A5F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59F3"/>
    <w:rsid w:val="0018686E"/>
    <w:rsid w:val="0018689E"/>
    <w:rsid w:val="00186918"/>
    <w:rsid w:val="001874A3"/>
    <w:rsid w:val="001878F6"/>
    <w:rsid w:val="00187B6A"/>
    <w:rsid w:val="001925EA"/>
    <w:rsid w:val="00192CF8"/>
    <w:rsid w:val="001933B6"/>
    <w:rsid w:val="00193508"/>
    <w:rsid w:val="00193752"/>
    <w:rsid w:val="00195164"/>
    <w:rsid w:val="00195247"/>
    <w:rsid w:val="0019595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B34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0D13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A7BC4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25B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5BD8"/>
    <w:rsid w:val="00306786"/>
    <w:rsid w:val="00306A71"/>
    <w:rsid w:val="00306F73"/>
    <w:rsid w:val="00307585"/>
    <w:rsid w:val="00307748"/>
    <w:rsid w:val="0031042D"/>
    <w:rsid w:val="00310844"/>
    <w:rsid w:val="00310A1E"/>
    <w:rsid w:val="003112D8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AC5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809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450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0E96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EC2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3D8D"/>
    <w:rsid w:val="0047518D"/>
    <w:rsid w:val="0047795F"/>
    <w:rsid w:val="004819D9"/>
    <w:rsid w:val="00481C3C"/>
    <w:rsid w:val="00482EA7"/>
    <w:rsid w:val="004835A3"/>
    <w:rsid w:val="00483D51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1D7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ECD"/>
    <w:rsid w:val="004C7F29"/>
    <w:rsid w:val="004D0792"/>
    <w:rsid w:val="004D0D39"/>
    <w:rsid w:val="004D1D66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37EFE"/>
    <w:rsid w:val="00541579"/>
    <w:rsid w:val="005429F6"/>
    <w:rsid w:val="00542C10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0AB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583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2A1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1E39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5ED9"/>
    <w:rsid w:val="008169B3"/>
    <w:rsid w:val="00817033"/>
    <w:rsid w:val="00817267"/>
    <w:rsid w:val="00817539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5F9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745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5FD1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9A9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5EA3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611"/>
    <w:rsid w:val="009967F4"/>
    <w:rsid w:val="00996A33"/>
    <w:rsid w:val="00997E8B"/>
    <w:rsid w:val="009A0322"/>
    <w:rsid w:val="009A08C9"/>
    <w:rsid w:val="009A13EE"/>
    <w:rsid w:val="009A2369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7DD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0A4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285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68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34"/>
    <w:rsid w:val="00B0658C"/>
    <w:rsid w:val="00B07493"/>
    <w:rsid w:val="00B07565"/>
    <w:rsid w:val="00B100C4"/>
    <w:rsid w:val="00B10A3C"/>
    <w:rsid w:val="00B10B65"/>
    <w:rsid w:val="00B10E13"/>
    <w:rsid w:val="00B1398E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8D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1A19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E23"/>
    <w:rsid w:val="00C533B0"/>
    <w:rsid w:val="00C545D2"/>
    <w:rsid w:val="00C545DA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3C2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50C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4E2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92F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0E6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3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5EAF"/>
    <w:rsid w:val="00E8639A"/>
    <w:rsid w:val="00E87B44"/>
    <w:rsid w:val="00E90341"/>
    <w:rsid w:val="00E9034B"/>
    <w:rsid w:val="00E909A1"/>
    <w:rsid w:val="00E90E4D"/>
    <w:rsid w:val="00E9301B"/>
    <w:rsid w:val="00E94169"/>
    <w:rsid w:val="00E94FCD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DE6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1F92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6E3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99FF5C-53BA-3140-9C56-DC077C79C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88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12</cp:revision>
  <cp:lastPrinted>2010-01-07T02:23:00Z</cp:lastPrinted>
  <dcterms:created xsi:type="dcterms:W3CDTF">2024-09-29T06:08:00Z</dcterms:created>
  <dcterms:modified xsi:type="dcterms:W3CDTF">2024-10-07T01:38:00Z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